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after="0"/>
        <w:jc w:val="center"/>
        <w:rPr>
          <w:rFonts w:hint="default" w:ascii="Segoe UI" w:hAnsi="Segoe UI" w:cs="Segoe UI"/>
          <w:b/>
          <w:bCs/>
          <w:color w:val="172B4D"/>
          <w:sz w:val="21"/>
          <w:szCs w:val="21"/>
          <w:lang w:val="ru-RU"/>
        </w:rPr>
      </w:pPr>
      <w:r>
        <w:rPr>
          <w:rFonts w:ascii="Segoe UI" w:hAnsi="Segoe UI" w:cs="Segoe UI"/>
          <w:b/>
          <w:bCs/>
          <w:color w:val="172B4D"/>
          <w:sz w:val="21"/>
          <w:szCs w:val="21"/>
          <w:lang w:val="ru-RU"/>
        </w:rPr>
        <w:t>Общие</w:t>
      </w:r>
      <w:r>
        <w:rPr>
          <w:rFonts w:hint="default" w:ascii="Segoe UI" w:hAnsi="Segoe UI" w:cs="Segoe UI"/>
          <w:b/>
          <w:bCs/>
          <w:color w:val="172B4D"/>
          <w:sz w:val="21"/>
          <w:szCs w:val="21"/>
          <w:lang w:val="ru-RU"/>
        </w:rPr>
        <w:t xml:space="preserve"> примечания по заполнению Приложения №2.6.1 методических рекомендаций</w:t>
      </w:r>
    </w:p>
    <w:p>
      <w:pPr>
        <w:pStyle w:val="6"/>
        <w:shd w:val="clear" w:color="auto" w:fill="FFFFFF"/>
        <w:spacing w:after="0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b/>
          <w:bCs/>
          <w:color w:val="172B4D"/>
          <w:sz w:val="21"/>
          <w:szCs w:val="21"/>
          <w:lang w:val="ru-RU"/>
        </w:rPr>
        <w:t>Вкладка</w:t>
      </w:r>
      <w:r>
        <w:rPr>
          <w:rFonts w:hint="default" w:ascii="Segoe UI" w:hAnsi="Segoe UI" w:cs="Segoe UI"/>
          <w:b/>
          <w:bCs/>
          <w:color w:val="172B4D"/>
          <w:sz w:val="21"/>
          <w:szCs w:val="21"/>
          <w:lang w:val="ru-RU"/>
        </w:rPr>
        <w:t xml:space="preserve"> </w:t>
      </w:r>
      <w:r>
        <w:rPr>
          <w:rFonts w:ascii="Segoe UI" w:hAnsi="Segoe UI" w:cs="Segoe UI"/>
          <w:b/>
          <w:bCs/>
          <w:color w:val="172B4D"/>
          <w:sz w:val="21"/>
          <w:szCs w:val="21"/>
        </w:rPr>
        <w:t>NSI_KSG_KSLP</w:t>
      </w:r>
      <w:r>
        <w:rPr>
          <w:rFonts w:ascii="Segoe UI" w:hAnsi="Segoe UI" w:cs="Segoe UI"/>
          <w:color w:val="172B4D"/>
          <w:sz w:val="21"/>
          <w:szCs w:val="21"/>
        </w:rPr>
        <w:t xml:space="preserve"> </w:t>
      </w:r>
    </w:p>
    <w:p>
      <w:pPr>
        <w:pStyle w:val="6"/>
        <w:shd w:val="clear" w:color="auto" w:fill="FFFFFF"/>
        <w:spacing w:after="0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>Будет единый перечень КСЛП - федеральный набор из 14 значений. нужно брать его, и заполнять для КС, ДС, если на данный момент не используются отдельные коэффициенты для конкретных диагнозов.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>0 - сопутствующее заболевание, осложнение</w:t>
      </w:r>
    </w:p>
    <w:p>
      <w:pPr>
        <w:pStyle w:val="6"/>
        <w:shd w:val="clear" w:color="auto" w:fill="FFFFFF"/>
        <w:spacing w:before="150" w:beforeAutospacing="0" w:after="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>1 - сочетанное хирургическое вмешательство</w:t>
      </w:r>
    </w:p>
    <w:p>
      <w:pPr>
        <w:pStyle w:val="6"/>
        <w:shd w:val="clear" w:color="auto" w:fill="FFFFFF"/>
        <w:spacing w:before="150" w:beforeAutospacing="0" w:after="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>3 – иное</w:t>
      </w:r>
    </w:p>
    <w:p>
      <w:pPr>
        <w:pStyle w:val="6"/>
        <w:shd w:val="clear" w:color="auto" w:fill="FFFFFF"/>
        <w:spacing w:before="150" w:beforeAutospacing="0" w:after="0" w:afterAutospacing="0"/>
        <w:rPr>
          <w:rFonts w:ascii="Segoe UI" w:hAnsi="Segoe UI" w:cs="Segoe UI"/>
          <w:color w:val="172B4D"/>
          <w:sz w:val="21"/>
          <w:szCs w:val="21"/>
        </w:rPr>
      </w:pPr>
    </w:p>
    <w:p>
      <w:pPr>
        <w:pStyle w:val="6"/>
        <w:shd w:val="clear" w:color="auto" w:fill="FFFFFF"/>
        <w:spacing w:before="0" w:beforeAutospacing="0" w:after="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Fonts w:ascii="Segoe UI" w:hAnsi="Segoe UI" w:cs="Segoe UI"/>
          <w:color w:val="172B4D"/>
          <w:sz w:val="21"/>
          <w:szCs w:val="21"/>
        </w:rPr>
        <w:t>То есть, ожидаем данный перечень значений по следующему списку:</w:t>
      </w:r>
    </w:p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>
            <w:pPr>
              <w:spacing w:after="0" w:line="240" w:lineRule="auto"/>
            </w:pPr>
            <w:r>
              <w:t>Код причины</w:t>
            </w:r>
          </w:p>
          <w:p>
            <w:pPr>
              <w:spacing w:after="0" w:line="240" w:lineRule="auto"/>
            </w:pPr>
          </w:p>
        </w:tc>
        <w:tc>
          <w:tcPr>
            <w:tcW w:w="3190" w:type="dxa"/>
          </w:tcPr>
          <w:p>
            <w:pPr>
              <w:spacing w:after="0" w:line="240" w:lineRule="auto"/>
            </w:pPr>
            <w:r>
              <w:t>Причина применения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Тип причины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3190" w:type="dxa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3190" w:type="dxa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"детская онкология" и (или) "гематология"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3190" w:type="dxa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3190" w:type="dxa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развертывание индивидуального поста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наличие у пациента тяжелой сопутствующей патологии &lt;1&gt;, требующей оказания медицинской помощи в период госпитализации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3190" w:type="dx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1 этапа медицинской реабилитации пациентов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3190" w:type="dxa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3190" w:type="dx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lang w:eastAsia="ru-RU"/>
                <w14:ligatures w14:val="none"/>
              </w:rPr>
              <w:t>проведение тестирования на выявление респираторных вирусных заболеваний (гриппа, новой коронавирусной инфекции COVID-19) в период госпитализации</w:t>
            </w:r>
          </w:p>
        </w:tc>
        <w:tc>
          <w:tcPr>
            <w:tcW w:w="3191" w:type="dxa"/>
          </w:tcPr>
          <w:p>
            <w:pPr>
              <w:spacing w:after="0" w:line="240" w:lineRule="auto"/>
            </w:pPr>
            <w:r>
              <w:t>3</w:t>
            </w:r>
          </w:p>
        </w:tc>
      </w:tr>
    </w:tbl>
    <w:p/>
    <w:p/>
    <w:p>
      <w:pPr>
        <w:rPr>
          <w:b/>
          <w:bCs/>
          <w:lang w:val="en-US"/>
        </w:rPr>
      </w:pPr>
      <w:r>
        <w:rPr>
          <w:rFonts w:ascii="Segoe UI" w:hAnsi="Segoe UI" w:cs="Segoe UI"/>
          <w:b/>
          <w:bCs/>
          <w:color w:val="172B4D"/>
          <w:sz w:val="21"/>
          <w:szCs w:val="21"/>
          <w:lang w:val="ru-RU"/>
        </w:rPr>
        <w:t>Вкладка</w:t>
      </w:r>
      <w:r>
        <w:rPr>
          <w:rFonts w:hint="default" w:ascii="Segoe UI" w:hAnsi="Segoe UI" w:cs="Segoe UI"/>
          <w:b/>
          <w:bCs/>
          <w:color w:val="172B4D"/>
          <w:sz w:val="21"/>
          <w:szCs w:val="21"/>
          <w:lang w:val="ru-RU"/>
        </w:rPr>
        <w:t xml:space="preserve"> </w:t>
      </w:r>
      <w:r>
        <w:rPr>
          <w:b/>
          <w:bCs/>
          <w:lang w:val="en-US"/>
        </w:rPr>
        <w:t>NSI_KSG_INTERRUPT</w:t>
      </w:r>
    </w:p>
    <w:p>
      <w:pPr>
        <w:jc w:val="both"/>
      </w:pPr>
      <w:r>
        <w:t xml:space="preserve">В случае, если в ТФ </w:t>
      </w:r>
      <w:r>
        <w:rPr>
          <w:u w:val="single"/>
        </w:rPr>
        <w:t>нет отдельно выделенных КСГ</w:t>
      </w:r>
      <w:r>
        <w:t xml:space="preserve"> со своими долями оплаты и своими длительностями для долей, поле </w:t>
      </w:r>
      <w:r>
        <w:rPr>
          <w:lang w:val="en-US"/>
        </w:rPr>
        <w:t>KSG</w:t>
      </w:r>
      <w:r>
        <w:t>_</w:t>
      </w:r>
      <w:r>
        <w:rPr>
          <w:lang w:val="en-US"/>
        </w:rPr>
        <w:t>CODE</w:t>
      </w:r>
      <w:r>
        <w:t xml:space="preserve"> заполнять не требуется.</w:t>
      </w:r>
    </w:p>
    <w:p>
      <w:pPr>
        <w:jc w:val="both"/>
      </w:pPr>
      <w:r>
        <w:br w:type="textWrapping"/>
      </w:r>
      <w:r>
        <w:t>Таким образом, можно предоставлять только 6 записей в справочнике</w:t>
      </w:r>
    </w:p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232"/>
        <w:gridCol w:w="1996"/>
        <w:gridCol w:w="180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&gt;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&lt;=</w:t>
            </w: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shd w:val="clear" w:color="auto" w:fill="E7E6E6" w:themeFill="background2"/>
          </w:tcPr>
          <w:p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TYPE</w:t>
            </w:r>
          </w:p>
        </w:tc>
        <w:tc>
          <w:tcPr>
            <w:tcW w:w="2232" w:type="dxa"/>
            <w:shd w:val="clear" w:color="auto" w:fill="E7E6E6" w:themeFill="background2"/>
          </w:tcPr>
          <w:p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PROFILE_TYPE</w:t>
            </w:r>
          </w:p>
        </w:tc>
        <w:tc>
          <w:tcPr>
            <w:tcW w:w="1996" w:type="dxa"/>
            <w:shd w:val="clear" w:color="auto" w:fill="E7E6E6" w:themeFill="background2"/>
          </w:tcPr>
          <w:p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DAY_MIN</w:t>
            </w:r>
          </w:p>
        </w:tc>
        <w:tc>
          <w:tcPr>
            <w:tcW w:w="1808" w:type="dxa"/>
            <w:shd w:val="clear" w:color="auto" w:fill="E7E6E6" w:themeFill="background2"/>
          </w:tcPr>
          <w:p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DAY_MAX</w:t>
            </w:r>
          </w:p>
        </w:tc>
        <w:tc>
          <w:tcPr>
            <w:tcW w:w="1538" w:type="dxa"/>
            <w:shd w:val="clear" w:color="auto" w:fill="E7E6E6" w:themeFill="background2"/>
          </w:tcPr>
          <w:p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3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96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538" w:type="dxa"/>
          </w:tcPr>
          <w:p>
            <w:pPr>
              <w:spacing w:after="0" w:line="240" w:lineRule="auto"/>
              <w:rPr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r>
        <w:t xml:space="preserve">Условие </w:t>
      </w:r>
      <w:r>
        <w:rPr>
          <w:b/>
          <w:bCs/>
          <w:lang w:val="en-US"/>
        </w:rPr>
        <w:t>DAY</w:t>
      </w:r>
      <w:r>
        <w:rPr>
          <w:b/>
          <w:bCs/>
        </w:rPr>
        <w:t>_</w:t>
      </w:r>
      <w:r>
        <w:rPr>
          <w:b/>
          <w:bCs/>
          <w:lang w:val="en-US"/>
        </w:rPr>
        <w:t>MIN</w:t>
      </w:r>
      <w:r>
        <w:rPr>
          <w:b/>
          <w:bCs/>
        </w:rPr>
        <w:t xml:space="preserve"> = 3, </w:t>
      </w:r>
      <w:r>
        <w:rPr>
          <w:b/>
          <w:bCs/>
          <w:lang w:val="en-US"/>
        </w:rPr>
        <w:t>DAY</w:t>
      </w:r>
      <w:r>
        <w:rPr>
          <w:b/>
          <w:bCs/>
        </w:rPr>
        <w:t>_</w:t>
      </w:r>
      <w:r>
        <w:rPr>
          <w:b/>
          <w:bCs/>
          <w:lang w:val="en-US"/>
        </w:rPr>
        <w:t>MAX</w:t>
      </w:r>
      <w:r>
        <w:t xml:space="preserve"> – не заполнено означает, что ему удовлетворяют длительности лечения </w:t>
      </w:r>
      <w:r>
        <w:rPr>
          <w:b/>
          <w:bCs/>
          <w:u w:val="single"/>
        </w:rPr>
        <w:t>более</w:t>
      </w:r>
      <w:r>
        <w:rPr>
          <w:b/>
          <w:bCs/>
        </w:rPr>
        <w:t xml:space="preserve"> трех дней</w:t>
      </w:r>
      <w:r>
        <w:t>.</w:t>
      </w:r>
    </w:p>
    <w:p/>
    <w:p>
      <w:pPr>
        <w:jc w:val="both"/>
        <w:rPr>
          <w:b/>
          <w:bCs/>
        </w:rPr>
      </w:pPr>
      <w:r>
        <w:rPr>
          <w:rFonts w:ascii="Segoe UI" w:hAnsi="Segoe UI" w:cs="Segoe UI"/>
          <w:b/>
          <w:bCs/>
          <w:color w:val="172B4D"/>
          <w:sz w:val="21"/>
          <w:szCs w:val="21"/>
          <w:lang w:val="ru-RU"/>
        </w:rPr>
        <w:t>Вкладка</w:t>
      </w:r>
      <w:r>
        <w:rPr>
          <w:rFonts w:hint="default" w:ascii="Segoe UI" w:hAnsi="Segoe UI" w:cs="Segoe UI"/>
          <w:b/>
          <w:bCs/>
          <w:color w:val="172B4D"/>
          <w:sz w:val="21"/>
          <w:szCs w:val="21"/>
          <w:lang w:val="ru-RU"/>
        </w:rPr>
        <w:t xml:space="preserve"> </w:t>
      </w:r>
      <w:bookmarkStart w:id="0" w:name="_GoBack"/>
      <w:bookmarkEnd w:id="0"/>
      <w:r>
        <w:rPr>
          <w:b/>
          <w:bCs/>
          <w:lang w:val="en-US"/>
        </w:rPr>
        <w:t>NSI</w:t>
      </w:r>
      <w:r>
        <w:rPr>
          <w:b/>
          <w:bCs/>
        </w:rPr>
        <w:t>_</w:t>
      </w:r>
      <w:r>
        <w:rPr>
          <w:b/>
          <w:bCs/>
          <w:lang w:val="en-US"/>
        </w:rPr>
        <w:t>KSG</w:t>
      </w:r>
      <w:r>
        <w:rPr>
          <w:b/>
          <w:bCs/>
        </w:rPr>
        <w:t>_</w:t>
      </w:r>
      <w:r>
        <w:rPr>
          <w:b/>
          <w:bCs/>
          <w:lang w:val="en-US"/>
        </w:rPr>
        <w:t>DKK</w:t>
      </w:r>
      <w:r>
        <w:rPr>
          <w:b/>
          <w:bCs/>
        </w:rPr>
        <w:t>.</w:t>
      </w:r>
    </w:p>
    <w:p>
      <w:pPr>
        <w:jc w:val="both"/>
      </w:pPr>
      <w:r>
        <w:t>В качестве источника для заполнения поля следует брать данные следующих вкладок приложения 6,7 к методическим рекомендациям об оплате:</w:t>
      </w:r>
    </w:p>
    <w:p>
      <w:pPr>
        <w:jc w:val="both"/>
      </w:pPr>
      <w:r>
        <w:drawing>
          <wp:inline distT="0" distB="0" distL="0" distR="0">
            <wp:extent cx="5082540" cy="289560"/>
            <wp:effectExtent l="0" t="0" r="3810" b="0"/>
            <wp:docPr id="15038820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882099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2980" cy="28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</w:pPr>
      <w:r>
        <w:t>А также внести дополнительные региональные ДКК в случае их наличия.</w:t>
      </w: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4E5288"/>
    <w:multiLevelType w:val="multilevel"/>
    <w:tmpl w:val="3F4E528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3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68E56E24"/>
    <w:multiLevelType w:val="multilevel"/>
    <w:tmpl w:val="68E56E24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6107"/>
        </w:tabs>
        <w:ind w:left="6107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1ED"/>
    <w:rsid w:val="001645CC"/>
    <w:rsid w:val="002F4BFF"/>
    <w:rsid w:val="00301AA8"/>
    <w:rsid w:val="003D3A20"/>
    <w:rsid w:val="0048288E"/>
    <w:rsid w:val="00532F59"/>
    <w:rsid w:val="00574335"/>
    <w:rsid w:val="007419A3"/>
    <w:rsid w:val="007B11ED"/>
    <w:rsid w:val="00802A1C"/>
    <w:rsid w:val="0084274B"/>
    <w:rsid w:val="008D33DB"/>
    <w:rsid w:val="00920E51"/>
    <w:rsid w:val="0099118B"/>
    <w:rsid w:val="00A77C59"/>
    <w:rsid w:val="00B36E46"/>
    <w:rsid w:val="00D91355"/>
    <w:rsid w:val="1A1F2A50"/>
    <w:rsid w:val="716B6762"/>
    <w:rsid w:val="74FF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2"/>
    <w:basedOn w:val="1"/>
    <w:next w:val="1"/>
    <w:link w:val="9"/>
    <w:semiHidden/>
    <w:unhideWhenUsed/>
    <w:qFormat/>
    <w:uiPriority w:val="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3">
    <w:name w:val="heading 3"/>
    <w:basedOn w:val="2"/>
    <w:next w:val="1"/>
    <w:link w:val="8"/>
    <w:qFormat/>
    <w:uiPriority w:val="0"/>
    <w:pPr>
      <w:numPr>
        <w:ilvl w:val="2"/>
        <w:numId w:val="2"/>
      </w:numPr>
      <w:tabs>
        <w:tab w:val="left" w:pos="964"/>
        <w:tab w:val="left" w:pos="6107"/>
      </w:tabs>
      <w:suppressAutoHyphens/>
      <w:spacing w:before="240" w:after="240" w:line="240" w:lineRule="auto"/>
      <w:ind w:left="720"/>
      <w:contextualSpacing/>
      <w:outlineLvl w:val="2"/>
    </w:pPr>
    <w:rPr>
      <w:rFonts w:ascii="Times New Roman" w:hAnsi="Times New Roman" w:eastAsia="Times New Roman" w:cs="Arial"/>
      <w:b/>
      <w:iCs/>
      <w:color w:val="auto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</w:rPr>
  </w:style>
  <w:style w:type="table" w:styleId="7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Заголовок 3 Знак"/>
    <w:basedOn w:val="4"/>
    <w:link w:val="3"/>
    <w:qFormat/>
    <w:uiPriority w:val="0"/>
    <w:rPr>
      <w:rFonts w:ascii="Times New Roman" w:hAnsi="Times New Roman" w:eastAsia="Times New Roman" w:cs="Arial"/>
      <w:b/>
      <w:iCs/>
      <w:sz w:val="26"/>
      <w:szCs w:val="26"/>
      <w:lang w:eastAsia="ru-RU"/>
    </w:rPr>
  </w:style>
  <w:style w:type="character" w:customStyle="1" w:styleId="9">
    <w:name w:val="Заголовок 2 Знак"/>
    <w:basedOn w:val="4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465</Words>
  <Characters>2654</Characters>
  <Lines>22</Lines>
  <Paragraphs>6</Paragraphs>
  <TotalTime>0</TotalTime>
  <ScaleCrop>false</ScaleCrop>
  <LinksUpToDate>false</LinksUpToDate>
  <CharactersWithSpaces>3113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2023-11-22T15:22:00Z</dcterms:created>
  <dc:creator>User</dc:creator>
  <cp:lastModifiedBy>Administrator</cp:lastModifiedBy>
  <dcterms:modified xsi:type="dcterms:W3CDTF">2024-02-16T14:28:15Z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6B3E03B83EB042E7A8C33320EA48D096_12</vt:lpwstr>
  </property>
</Properties>
</file>